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9637"/>
        <w:gridCol w:w="5952"/>
      </w:tblGrid>
      <w:tr>
        <w:trPr/>
        <w:tc>
          <w:tcPr>
            <w:tcW w:w="963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30"/>
              <w:gridCol w:w="3259"/>
            </w:tblGrid>
            <w:tr>
              <w:trPr>
                <w:trHeight w:val="566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59"/>
                  </w:tblGrid>
                  <w:tr>
                    <w:trPr>
                      <w:trHeight w:val="488" w:hRule="atLeast"/>
                    </w:trPr>
                    <w:tc>
                      <w:tcPr>
                        <w:tcW w:w="3259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20-ojo VSAFAS „Finansavimo sumos“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br/>
                          <w:t xml:space="preserve">4 priedas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566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(Informacijos apie finansavimo sumas pagal šaltinį, tikslinę paskirtį ir jų pokyčius per ataskaitinį laikotarpį pateikimo žemesniojo lygio finansinių ataskaitų aiškinamajame rašte forma)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4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6" w:hRule="atLeast"/>
                    </w:trPr>
                    <w:tc>
                      <w:tcPr>
                        <w:tcW w:w="15590" w:type="dxa"/>
                        <w:tcBorders>
                          <w:top w:val="nil" w:color="000000" w:sz="3"/>
                          <w:left w:val="nil" w:color="000000" w:sz="3"/>
                          <w:bottom w:val="nil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191817949, Trakų r. sav. Senųjų Trakų k. Trakų g. 66A Trakų r. Senųjų Trakų Kęstučio pagrindinė mokykla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single" w:color="000000" w:sz="3"/>
                          <w:left w:val="nil" w:color="000000" w:sz="3"/>
                          <w:bottom w:val="nil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(viešojo sektoriaus subjekto arba viešojo sektoriaus subjektų grupės pavadinimas, kodas)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9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FINANSAVIMO SUMOS PAGAL ŠALTINĮ, TIKSLINĘ PASKIRTĮ IR JŲ POKYČIAI PER ATASKAITINĮ LAIKOTARPĮ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PAGAL 2018 M. BIRŽELIO 30 D. DUOMENIS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12330" w:type="dxa"/>
                  <w:hMerge w:val="restart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5"/>
                    <w:gridCol w:w="3316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</w:tblGrid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Eil.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Finansavimo sumos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restart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Per ataskaitinį laikotarpį</w:t>
                        </w: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906" w:hRule="atLeast"/>
                    </w:trPr>
                    <w:tc>
                      <w:tcPr>
                        <w:tcW w:w="425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Nr.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likutis ataskaitinio laikotarpio pradžioje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sumos (gautos), išskyrus neatlygintinai gautą turtą 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pergrupavimas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Neatlygintinai gautas turtas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Perduota kitiems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turto pardavimo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jų panaudojimo savo veiklai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jų perdavimo ne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sumos (grąžintos)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(gautinų) pasikeitimas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likutis ataskaitinio laikotarpio pabaigoje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valstybės biudžeto (išskyrus valstybės biudžeto asignavimų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16.004,56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67.804,86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"http://biudzetasvs/dokumentai?eil=1&amp;stulp=4"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4,91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(42.589,23)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41.225,10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15.785,14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4.439,38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"http://biudzetasvs/dokumentai?eil=2&amp;stulp=4"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4,91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(663,30)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19.566,13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219,42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63.365,48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(41.925,93)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21.658,97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savivaldybės biudžeto (išskyrus  savivaldybės biudžeto asignavimų 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1.012.103,45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34.369,36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(33.972,67)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1.012.500,14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1.013.651,79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4.727,91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(3.729,17)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1.014.650,53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(1.548,34)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29.641,45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(30.243,50)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(2.150,39)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Europos Sąjungos, užsienio valstybių ir tarptautinių organizacijų (finansavimo sumų dalis, kuri gaunama iš Europos Sąjungos, neįskaitant finansvimo sumų iš valstybės ar savivaldybės biudžetų ES  projektams finansuoti):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31.794,66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(1.235,39)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30.559,27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31.794,66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(1.235,39)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30.559,27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"http://biudzetasvs/dokumentai?eil=9&amp;stulp=7"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"http://biudzetasvs/dokumentai?eil=9&amp;stulp=11"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kitų šaltinių: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8.951,28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"http://biudzetasvs/dokumentai?eil=10&amp;stulp=4"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1,80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(41,93)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8.911,15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įsygyti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396,98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"http://biudzetasvs/dokumentai?eil=11&amp;stulp=4"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1,80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(41,93)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356,85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8.554,30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"http://biudzetasvs/dokumentai?eil=12&amp;stulp=7"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8.554,30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5.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viso finansavimo sumų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1.068.853,95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102.174,22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"http://biudzetasvs/dokumentai?eil=13&amp;stulp=4"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6,71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(77.839,22)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1.093.195,66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95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" w:hRule="atLeast"/>
        </w:trPr>
        <w:tc>
          <w:tcPr>
            <w:tcW w:w="96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95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37"/>
            </w:tblGrid>
            <w:tr>
              <w:trPr>
                <w:trHeight w:val="1133" w:hRule="atLeast"/>
              </w:trPr>
              <w:tc>
                <w:tcPr>
                  <w:tcW w:w="9637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637"/>
                  </w:tblGrid>
                  <w:tr>
                    <w:trPr>
                      <w:trHeight w:val="566" w:hRule="atLeast"/>
                    </w:trPr>
                    <w:tc>
                      <w:tcPr>
                        <w:tcW w:w="96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26"/>
                          <w:gridCol w:w="141"/>
                          <w:gridCol w:w="1842"/>
                          <w:gridCol w:w="141"/>
                          <w:gridCol w:w="3685"/>
                        </w:tblGrid>
                        <w:tr>
                          <w:trPr>
                            <w:trHeight w:val="255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Direktorė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Ramutė Karpovičienė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(pareigos)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42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(parašas)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(vardas, pavardė)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96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26"/>
                          <w:gridCol w:w="141"/>
                          <w:gridCol w:w="1842"/>
                          <w:gridCol w:w="141"/>
                          <w:gridCol w:w="3685"/>
                        </w:tblGrid>
                        <w:tr>
                          <w:trPr>
                            <w:trHeight w:val="255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Vyriausioji buhalterė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Tatjana Genaitienė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(pareigos)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42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(parašas)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(vardas, pavardė)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95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6837" w:h="11905"/>
      <w:pgMar w:top="850" w:right="566" w:bottom="566" w:left="566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